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7119" w14:textId="5576E44A" w:rsidR="009E75B9" w:rsidRDefault="009E75B9">
      <w:pPr>
        <w:rPr>
          <w:b/>
          <w:bCs/>
          <w:lang w:val="et-EE"/>
        </w:rPr>
      </w:pPr>
      <w:r>
        <w:rPr>
          <w:b/>
          <w:bCs/>
          <w:lang w:val="et-EE"/>
        </w:rPr>
        <w:t>02.08.2024.</w:t>
      </w:r>
    </w:p>
    <w:p w14:paraId="7F20563C" w14:textId="178BB1A1" w:rsidR="00DB5BDA" w:rsidRPr="009E75B9" w:rsidRDefault="00DB5BDA">
      <w:pPr>
        <w:rPr>
          <w:b/>
          <w:bCs/>
          <w:lang w:val="et-EE"/>
        </w:rPr>
      </w:pPr>
      <w:r w:rsidRPr="00A962CC">
        <w:rPr>
          <w:b/>
          <w:bCs/>
          <w:lang w:val="et-EE"/>
        </w:rPr>
        <w:t>Eesti Biomeditsiinitehnika ja Meditsiinifüüsika Ühingu (EBMÜ) ettepanekud 19. detsembri 2018. a määruse nr 71 „Meditsiinikiirituse protseduuride kiirgusohutusnõuded, meditsiinikiirituse protseduuride kliinilise auditi nõuded ning diagnostilised referentsväärtused ja nende määramise nõuded“ määruse eelnõu kohta.</w:t>
      </w:r>
    </w:p>
    <w:p w14:paraId="0E04902B" w14:textId="25E621BC" w:rsidR="00DB5BDA" w:rsidRPr="00A962CC" w:rsidRDefault="00180FA2">
      <w:pPr>
        <w:rPr>
          <w:lang w:val="et-EE"/>
        </w:rPr>
      </w:pPr>
      <w:r>
        <w:rPr>
          <w:lang w:val="et-EE"/>
        </w:rPr>
        <w:t xml:space="preserve">Ettepanekute koostamisel osales EBMÜ töögrupp. </w:t>
      </w:r>
      <w:r w:rsidR="00DB5BDA" w:rsidRPr="00A962CC">
        <w:rPr>
          <w:lang w:val="et-EE"/>
        </w:rPr>
        <w:t xml:space="preserve">Ettepanekutes oleme toonud välja viite määruse </w:t>
      </w:r>
      <w:r w:rsidR="006D693D" w:rsidRPr="00A962CC">
        <w:rPr>
          <w:lang w:val="et-EE"/>
        </w:rPr>
        <w:t>ja/</w:t>
      </w:r>
      <w:r w:rsidR="00DB5BDA" w:rsidRPr="00A962CC">
        <w:rPr>
          <w:lang w:val="et-EE"/>
        </w:rPr>
        <w:t xml:space="preserve">või eelnõue paragrahvile, sõnastuse muutmise ettepaneku, selgituse, miks muudatus on vajalik ja kriitilisuse taseme, mille puhul kriitilised ettepanekud tuleb kindlasti </w:t>
      </w:r>
      <w:r w:rsidR="00E040BF">
        <w:rPr>
          <w:lang w:val="et-EE"/>
        </w:rPr>
        <w:t>määrusesse</w:t>
      </w:r>
      <w:r w:rsidR="00DB5BDA" w:rsidRPr="00A962CC">
        <w:rPr>
          <w:lang w:val="et-EE"/>
        </w:rPr>
        <w:t xml:space="preserve"> sisse viia. Oluliste ettepanekute ja tähelepanekute osas palume võimalusel EBMÜ seisukohtadega arvestada.</w:t>
      </w:r>
    </w:p>
    <w:p w14:paraId="2AB7BB15" w14:textId="77777777" w:rsidR="00DB5BDA" w:rsidRPr="00A962CC" w:rsidRDefault="00DB5BDA">
      <w:pPr>
        <w:rPr>
          <w:lang w:val="et-EE"/>
        </w:rPr>
      </w:pPr>
    </w:p>
    <w:tbl>
      <w:tblPr>
        <w:tblStyle w:val="TableGrid"/>
        <w:tblW w:w="10020" w:type="dxa"/>
        <w:tblLayout w:type="fixed"/>
        <w:tblLook w:val="04A0" w:firstRow="1" w:lastRow="0" w:firstColumn="1" w:lastColumn="0" w:noHBand="0" w:noVBand="1"/>
      </w:tblPr>
      <w:tblGrid>
        <w:gridCol w:w="1225"/>
        <w:gridCol w:w="2974"/>
        <w:gridCol w:w="4160"/>
        <w:gridCol w:w="1661"/>
      </w:tblGrid>
      <w:tr w:rsidR="000F2776" w:rsidRPr="00A962CC" w14:paraId="0B088637" w14:textId="77777777" w:rsidTr="00D554DF">
        <w:tc>
          <w:tcPr>
            <w:tcW w:w="1225" w:type="dxa"/>
          </w:tcPr>
          <w:p w14:paraId="2E2EDDB6" w14:textId="1F1DB8E2" w:rsidR="00D8493C" w:rsidRPr="00A962CC" w:rsidRDefault="00D8493C">
            <w:pPr>
              <w:rPr>
                <w:b/>
                <w:bCs/>
                <w:lang w:val="et-EE"/>
              </w:rPr>
            </w:pPr>
            <w:r w:rsidRPr="00A962CC">
              <w:rPr>
                <w:b/>
                <w:bCs/>
                <w:lang w:val="et-EE"/>
              </w:rPr>
              <w:t xml:space="preserve">Viide </w:t>
            </w:r>
          </w:p>
        </w:tc>
        <w:tc>
          <w:tcPr>
            <w:tcW w:w="2974" w:type="dxa"/>
          </w:tcPr>
          <w:p w14:paraId="56FC595F" w14:textId="7AD6111D" w:rsidR="00D8493C" w:rsidRPr="00A962CC" w:rsidRDefault="00D8493C">
            <w:pPr>
              <w:rPr>
                <w:b/>
                <w:bCs/>
                <w:lang w:val="et-EE"/>
              </w:rPr>
            </w:pPr>
            <w:r w:rsidRPr="00A962CC">
              <w:rPr>
                <w:b/>
                <w:bCs/>
                <w:lang w:val="et-EE"/>
              </w:rPr>
              <w:t>Ettepanek</w:t>
            </w:r>
          </w:p>
        </w:tc>
        <w:tc>
          <w:tcPr>
            <w:tcW w:w="4160" w:type="dxa"/>
          </w:tcPr>
          <w:p w14:paraId="29FD6B94" w14:textId="5C728AFE" w:rsidR="00D8493C" w:rsidRPr="00A962CC" w:rsidRDefault="00D8493C">
            <w:pPr>
              <w:rPr>
                <w:b/>
                <w:bCs/>
                <w:lang w:val="et-EE"/>
              </w:rPr>
            </w:pPr>
            <w:r w:rsidRPr="00A962CC">
              <w:rPr>
                <w:b/>
                <w:bCs/>
                <w:lang w:val="et-EE"/>
              </w:rPr>
              <w:t>Selgitus</w:t>
            </w:r>
          </w:p>
        </w:tc>
        <w:tc>
          <w:tcPr>
            <w:tcW w:w="1661" w:type="dxa"/>
          </w:tcPr>
          <w:p w14:paraId="7A14CCFA" w14:textId="4AC142EF" w:rsidR="00D8493C" w:rsidRPr="00A962CC" w:rsidRDefault="00D8493C">
            <w:pPr>
              <w:rPr>
                <w:b/>
                <w:bCs/>
                <w:lang w:val="et-EE"/>
              </w:rPr>
            </w:pPr>
            <w:r w:rsidRPr="00A962CC">
              <w:rPr>
                <w:b/>
                <w:bCs/>
                <w:lang w:val="et-EE"/>
              </w:rPr>
              <w:t>Kriitilisus</w:t>
            </w:r>
          </w:p>
        </w:tc>
      </w:tr>
      <w:tr w:rsidR="000F2776" w:rsidRPr="00A962CC" w14:paraId="780CA86E" w14:textId="77777777" w:rsidTr="00D554DF">
        <w:tc>
          <w:tcPr>
            <w:tcW w:w="1225" w:type="dxa"/>
          </w:tcPr>
          <w:p w14:paraId="611194F7" w14:textId="5A39E237" w:rsidR="00D8493C" w:rsidRPr="00A962CC" w:rsidRDefault="000F2776" w:rsidP="00D95A30">
            <w:pPr>
              <w:pStyle w:val="Heading3"/>
              <w:spacing w:before="0" w:after="0"/>
              <w:rPr>
                <w:rFonts w:ascii="Arial" w:hAnsi="Arial" w:cs="Arial"/>
                <w:color w:val="000000"/>
                <w:sz w:val="21"/>
                <w:szCs w:val="21"/>
                <w:lang w:val="et-EE"/>
              </w:rPr>
            </w:pPr>
            <w:r w:rsidRPr="00A962CC">
              <w:rPr>
                <w:rStyle w:val="Strong"/>
                <w:rFonts w:ascii="Arial" w:hAnsi="Arial" w:cs="Arial"/>
                <w:b w:val="0"/>
                <w:bCs w:val="0"/>
                <w:color w:val="000000"/>
                <w:sz w:val="21"/>
                <w:szCs w:val="21"/>
                <w:bdr w:val="none" w:sz="0" w:space="0" w:color="auto" w:frame="1"/>
                <w:lang w:val="et-EE"/>
              </w:rPr>
              <w:t xml:space="preserve">Kehtiva määruse </w:t>
            </w:r>
            <w:r w:rsidR="00D95A30" w:rsidRPr="00A962CC">
              <w:rPr>
                <w:rStyle w:val="Strong"/>
                <w:rFonts w:ascii="Arial" w:hAnsi="Arial" w:cs="Arial"/>
                <w:b w:val="0"/>
                <w:bCs w:val="0"/>
                <w:color w:val="000000"/>
                <w:sz w:val="21"/>
                <w:szCs w:val="21"/>
                <w:bdr w:val="none" w:sz="0" w:space="0" w:color="auto" w:frame="1"/>
                <w:lang w:val="et-EE"/>
              </w:rPr>
              <w:t>§</w:t>
            </w:r>
            <w:r w:rsidR="00D95A30" w:rsidRPr="00A962CC">
              <w:rPr>
                <w:rFonts w:eastAsiaTheme="minorHAnsi" w:cstheme="minorBidi"/>
                <w:b/>
                <w:bCs/>
                <w:color w:val="auto"/>
                <w:sz w:val="24"/>
                <w:szCs w:val="24"/>
                <w:lang w:val="et-EE"/>
              </w:rPr>
              <w:t xml:space="preserve"> </w:t>
            </w:r>
            <w:r w:rsidR="00D95A30" w:rsidRPr="00A962CC">
              <w:rPr>
                <w:rFonts w:eastAsiaTheme="minorHAnsi" w:cstheme="minorBidi"/>
                <w:color w:val="auto"/>
                <w:sz w:val="24"/>
                <w:szCs w:val="24"/>
                <w:lang w:val="et-EE"/>
              </w:rPr>
              <w:t>13 lõige 4</w:t>
            </w:r>
          </w:p>
        </w:tc>
        <w:tc>
          <w:tcPr>
            <w:tcW w:w="2974" w:type="dxa"/>
          </w:tcPr>
          <w:p w14:paraId="7A8CAF47" w14:textId="356F2C81" w:rsidR="00D8493C" w:rsidRPr="00A962CC" w:rsidRDefault="00647CE9">
            <w:pPr>
              <w:rPr>
                <w:lang w:val="et-EE"/>
              </w:rPr>
            </w:pPr>
            <w:r w:rsidRPr="00A962CC">
              <w:rPr>
                <w:lang w:val="et-EE"/>
              </w:rPr>
              <w:t xml:space="preserve">Muuta sõnastust asendades kogu lõike: Heakskiidu- ja toimimiskatseid võib teha </w:t>
            </w:r>
            <w:r w:rsidR="0073494F" w:rsidRPr="00A962CC">
              <w:rPr>
                <w:lang w:val="et-EE"/>
              </w:rPr>
              <w:t xml:space="preserve">ainult </w:t>
            </w:r>
            <w:r w:rsidRPr="00A962CC">
              <w:rPr>
                <w:lang w:val="et-EE"/>
              </w:rPr>
              <w:t>vastava valdkonna kutsetunnistust omav meditsiinifüüsika ekspert</w:t>
            </w:r>
            <w:r w:rsidR="000B0C62" w:rsidRPr="00A962CC">
              <w:rPr>
                <w:lang w:val="et-EE"/>
              </w:rPr>
              <w:t>, kes esindab kiirgusseadme soetanud või seadet kasutava kiirgustegevusloa omajat</w:t>
            </w:r>
            <w:r w:rsidR="008069E2" w:rsidRPr="00A962CC">
              <w:rPr>
                <w:lang w:val="et-EE"/>
              </w:rPr>
              <w:t>, täites kvaliteedijuhtimise süsteemi tingimusi</w:t>
            </w:r>
            <w:r w:rsidRPr="00A962CC">
              <w:rPr>
                <w:lang w:val="et-EE"/>
              </w:rPr>
              <w:t>.</w:t>
            </w:r>
          </w:p>
        </w:tc>
        <w:tc>
          <w:tcPr>
            <w:tcW w:w="4160" w:type="dxa"/>
          </w:tcPr>
          <w:p w14:paraId="43A3B89D" w14:textId="06D9D8C5" w:rsidR="00647CE9" w:rsidRPr="00A962CC" w:rsidRDefault="00647CE9">
            <w:pPr>
              <w:rPr>
                <w:lang w:val="et-EE"/>
              </w:rPr>
            </w:pPr>
            <w:r w:rsidRPr="00A962CC">
              <w:rPr>
                <w:lang w:val="et-EE"/>
              </w:rPr>
              <w:t xml:space="preserve">Praegune määruse sõnastus võimaldab kasutada ära huvide konflikti, kus </w:t>
            </w:r>
            <w:r w:rsidR="0073494F" w:rsidRPr="00A962CC">
              <w:rPr>
                <w:lang w:val="et-EE"/>
              </w:rPr>
              <w:t>kiirgus</w:t>
            </w:r>
            <w:r w:rsidRPr="00A962CC">
              <w:rPr>
                <w:lang w:val="et-EE"/>
              </w:rPr>
              <w:t>seadme paigaldanud tootja poolt volitatud isik teeb iseenda tööde</w:t>
            </w:r>
            <w:r w:rsidR="0073494F" w:rsidRPr="00A962CC">
              <w:rPr>
                <w:lang w:val="et-EE"/>
              </w:rPr>
              <w:t>le</w:t>
            </w:r>
            <w:r w:rsidRPr="00A962CC">
              <w:rPr>
                <w:lang w:val="et-EE"/>
              </w:rPr>
              <w:t xml:space="preserve"> järelevalvet (heakskiidukatseid) või siis tootja poolt volitatud isik, kes remondib seadet teeb pärast seadme remontimist tööde korrektsuse hindamiseks toimimiskatsetega ise enda tööle järelevalvet. </w:t>
            </w:r>
            <w:r w:rsidR="0073494F" w:rsidRPr="00A962CC">
              <w:rPr>
                <w:lang w:val="et-EE"/>
              </w:rPr>
              <w:t>Kuna tootja poolt volitatud isikul (enamasti seadme maaletooja insener) on majanduslik huvi täiendavaid töid mitte teha (või näiteks garantiikorras uut rön</w:t>
            </w:r>
            <w:r w:rsidR="0084485C">
              <w:rPr>
                <w:lang w:val="et-EE"/>
              </w:rPr>
              <w:t>t</w:t>
            </w:r>
            <w:r w:rsidR="0073494F" w:rsidRPr="00A962CC">
              <w:rPr>
                <w:lang w:val="et-EE"/>
              </w:rPr>
              <w:t>gentoru tarnida), siis on praeguse lähenemisega kahjustatud tervishoiuteenuse osutajate huvi saada kvaliteetset teenust ja ei ole tagatud patsiendi kiirgusohutus.</w:t>
            </w:r>
            <w:r w:rsidRPr="00A962CC">
              <w:rPr>
                <w:lang w:val="et-EE"/>
              </w:rPr>
              <w:t xml:space="preserve"> </w:t>
            </w:r>
          </w:p>
          <w:p w14:paraId="1DEC535D" w14:textId="77777777" w:rsidR="005B1A9A" w:rsidRPr="00A962CC" w:rsidRDefault="005B1A9A">
            <w:pPr>
              <w:rPr>
                <w:lang w:val="et-EE"/>
              </w:rPr>
            </w:pPr>
          </w:p>
          <w:p w14:paraId="022D380C" w14:textId="76F733CD" w:rsidR="005B1A9A" w:rsidRPr="00A962CC" w:rsidRDefault="005B1A9A">
            <w:pPr>
              <w:rPr>
                <w:lang w:val="et-EE"/>
              </w:rPr>
            </w:pPr>
            <w:r w:rsidRPr="00A962CC">
              <w:rPr>
                <w:lang w:val="et-EE"/>
              </w:rPr>
              <w:t xml:space="preserve">Tootjapoolne väljaõpe seadme hooldamiseks ja remontimiseks ei sisalda ka väljaõpet heakskiidu või toimimiskatsete tegemiseks ning lihtsalt tootjapoolne volitus ei tõenda tegelikult isiku pädevust </w:t>
            </w:r>
            <w:r w:rsidR="00A30065" w:rsidRPr="00A962CC">
              <w:rPr>
                <w:lang w:val="et-EE"/>
              </w:rPr>
              <w:t>heakskiidu ja toimimiskatseid</w:t>
            </w:r>
            <w:r w:rsidRPr="00A962CC">
              <w:rPr>
                <w:lang w:val="et-EE"/>
              </w:rPr>
              <w:t xml:space="preserve"> teostada.</w:t>
            </w:r>
          </w:p>
        </w:tc>
        <w:tc>
          <w:tcPr>
            <w:tcW w:w="1661" w:type="dxa"/>
          </w:tcPr>
          <w:p w14:paraId="1BCBE493" w14:textId="11740A36" w:rsidR="00D8493C" w:rsidRPr="00A962CC" w:rsidRDefault="00647CE9">
            <w:pPr>
              <w:rPr>
                <w:lang w:val="et-EE"/>
              </w:rPr>
            </w:pPr>
            <w:r w:rsidRPr="00A962CC">
              <w:rPr>
                <w:lang w:val="et-EE"/>
              </w:rPr>
              <w:t>Kriitiline</w:t>
            </w:r>
          </w:p>
        </w:tc>
      </w:tr>
      <w:tr w:rsidR="000F2776" w:rsidRPr="00A962CC" w14:paraId="79EF1821" w14:textId="77777777" w:rsidTr="00D554DF">
        <w:tc>
          <w:tcPr>
            <w:tcW w:w="1225" w:type="dxa"/>
          </w:tcPr>
          <w:p w14:paraId="27928493" w14:textId="7EE3E804" w:rsidR="005E2A33" w:rsidRPr="00A962CC" w:rsidRDefault="000F2776">
            <w:pPr>
              <w:rPr>
                <w:rStyle w:val="Strong"/>
                <w:rFonts w:ascii="Arial" w:hAnsi="Arial" w:cs="Arial"/>
                <w:b w:val="0"/>
                <w:bCs w:val="0"/>
                <w:color w:val="000000"/>
                <w:sz w:val="21"/>
                <w:szCs w:val="21"/>
                <w:bdr w:val="none" w:sz="0" w:space="0" w:color="auto" w:frame="1"/>
                <w:lang w:val="et-EE"/>
              </w:rPr>
            </w:pPr>
            <w:r w:rsidRPr="00A962CC">
              <w:rPr>
                <w:rStyle w:val="Strong"/>
                <w:rFonts w:ascii="Arial" w:hAnsi="Arial" w:cs="Arial"/>
                <w:b w:val="0"/>
                <w:bCs w:val="0"/>
                <w:color w:val="000000"/>
                <w:sz w:val="21"/>
                <w:szCs w:val="21"/>
                <w:bdr w:val="none" w:sz="0" w:space="0" w:color="auto" w:frame="1"/>
                <w:lang w:val="et-EE"/>
              </w:rPr>
              <w:t xml:space="preserve">Määruse eelnõu </w:t>
            </w:r>
            <w:r w:rsidR="005E2A33" w:rsidRPr="00A962CC">
              <w:rPr>
                <w:rStyle w:val="Strong"/>
                <w:rFonts w:ascii="Arial" w:hAnsi="Arial" w:cs="Arial"/>
                <w:b w:val="0"/>
                <w:bCs w:val="0"/>
                <w:color w:val="000000"/>
                <w:sz w:val="21"/>
                <w:szCs w:val="21"/>
                <w:bdr w:val="none" w:sz="0" w:space="0" w:color="auto" w:frame="1"/>
                <w:lang w:val="et-EE"/>
              </w:rPr>
              <w:t>Lisa 1</w:t>
            </w:r>
          </w:p>
        </w:tc>
        <w:tc>
          <w:tcPr>
            <w:tcW w:w="2974" w:type="dxa"/>
          </w:tcPr>
          <w:p w14:paraId="3AF4B2A0" w14:textId="6298E9B3" w:rsidR="005E2A33" w:rsidRPr="00A962CC" w:rsidRDefault="00EC0F25">
            <w:pPr>
              <w:rPr>
                <w:lang w:val="et-EE"/>
              </w:rPr>
            </w:pPr>
            <w:r w:rsidRPr="00A962CC">
              <w:rPr>
                <w:lang w:val="et-EE"/>
              </w:rPr>
              <w:t xml:space="preserve">Lisada </w:t>
            </w:r>
            <w:proofErr w:type="spellStart"/>
            <w:r w:rsidRPr="00A962CC">
              <w:rPr>
                <w:lang w:val="et-EE"/>
              </w:rPr>
              <w:t>refentsprotseduuride</w:t>
            </w:r>
            <w:proofErr w:type="spellEnd"/>
            <w:r w:rsidRPr="00A962CC">
              <w:rPr>
                <w:lang w:val="et-EE"/>
              </w:rPr>
              <w:t xml:space="preserve"> loetellu kasvaja staadiumi </w:t>
            </w:r>
            <w:r w:rsidRPr="00A962CC">
              <w:rPr>
                <w:lang w:val="et-EE"/>
              </w:rPr>
              <w:lastRenderedPageBreak/>
              <w:t>määramise uuringud piirkon</w:t>
            </w:r>
            <w:r w:rsidR="00C56B30" w:rsidRPr="00A962CC">
              <w:rPr>
                <w:lang w:val="et-EE"/>
              </w:rPr>
              <w:t>na</w:t>
            </w:r>
            <w:r w:rsidRPr="00A962CC">
              <w:rPr>
                <w:lang w:val="et-EE"/>
              </w:rPr>
              <w:t xml:space="preserve">st kael kuni vaagen ja </w:t>
            </w:r>
            <w:r w:rsidR="00C56B30" w:rsidRPr="00A962CC">
              <w:rPr>
                <w:lang w:val="et-EE"/>
              </w:rPr>
              <w:t xml:space="preserve">piirkonnast </w:t>
            </w:r>
            <w:r w:rsidRPr="00A962CC">
              <w:rPr>
                <w:lang w:val="et-EE"/>
              </w:rPr>
              <w:t>rindkere kuni vaagen, mis on väga laialdaselt teostatavad protseduurid ja suhteliselt suure kiirgusdoosiga.</w:t>
            </w:r>
          </w:p>
        </w:tc>
        <w:tc>
          <w:tcPr>
            <w:tcW w:w="4160" w:type="dxa"/>
          </w:tcPr>
          <w:p w14:paraId="587578F1" w14:textId="3965C465" w:rsidR="005E2A33" w:rsidRPr="00A962CC" w:rsidRDefault="00EC0F25">
            <w:pPr>
              <w:rPr>
                <w:lang w:val="et-EE"/>
              </w:rPr>
            </w:pPr>
            <w:r w:rsidRPr="00A962CC">
              <w:rPr>
                <w:lang w:val="et-EE"/>
              </w:rPr>
              <w:lastRenderedPageBreak/>
              <w:t xml:space="preserve">Ajakohastada koostöös EBMÜ ja </w:t>
            </w:r>
            <w:proofErr w:type="spellStart"/>
            <w:r w:rsidRPr="00A962CC">
              <w:rPr>
                <w:lang w:val="et-EE"/>
              </w:rPr>
              <w:t>ERÜ-ga</w:t>
            </w:r>
            <w:proofErr w:type="spellEnd"/>
            <w:r w:rsidRPr="00A962CC">
              <w:rPr>
                <w:lang w:val="et-EE"/>
              </w:rPr>
              <w:t xml:space="preserve"> referentsprotseduuride loetelu. Kasvaja staadiumi määramise kohta </w:t>
            </w:r>
            <w:r w:rsidRPr="00A962CC">
              <w:rPr>
                <w:lang w:val="et-EE"/>
              </w:rPr>
              <w:lastRenderedPageBreak/>
              <w:t xml:space="preserve">on ERÜ avaldanud standardsed tegevusjuhised: </w:t>
            </w:r>
            <w:hyperlink r:id="rId4" w:history="1">
              <w:r w:rsidRPr="00A962CC">
                <w:rPr>
                  <w:rStyle w:val="Hyperlink"/>
                  <w:lang w:val="et-EE"/>
                </w:rPr>
                <w:t>https://ery.ee/wp-content/uploads/Dokumendid/KT-teostusprotokollid_ERU_14.04.22.pdf</w:t>
              </w:r>
            </w:hyperlink>
            <w:r w:rsidRPr="00A962CC">
              <w:rPr>
                <w:lang w:val="et-EE"/>
              </w:rPr>
              <w:t xml:space="preserve"> </w:t>
            </w:r>
          </w:p>
        </w:tc>
        <w:tc>
          <w:tcPr>
            <w:tcW w:w="1661" w:type="dxa"/>
          </w:tcPr>
          <w:p w14:paraId="2DADA712" w14:textId="6CC453CF" w:rsidR="005E2A33" w:rsidRPr="00A962CC" w:rsidRDefault="005E2A33">
            <w:pPr>
              <w:rPr>
                <w:lang w:val="et-EE"/>
              </w:rPr>
            </w:pPr>
            <w:r w:rsidRPr="00A962CC">
              <w:rPr>
                <w:lang w:val="et-EE"/>
              </w:rPr>
              <w:lastRenderedPageBreak/>
              <w:t>Oluline ettepanek</w:t>
            </w:r>
          </w:p>
        </w:tc>
      </w:tr>
      <w:tr w:rsidR="00A962CC" w:rsidRPr="00A962CC" w14:paraId="4D905C67" w14:textId="77777777" w:rsidTr="00D554DF">
        <w:tc>
          <w:tcPr>
            <w:tcW w:w="1225" w:type="dxa"/>
          </w:tcPr>
          <w:p w14:paraId="32B1E969" w14:textId="4AEA44C7" w:rsidR="00A962CC" w:rsidRDefault="003C17DF">
            <w:pPr>
              <w:rPr>
                <w:rStyle w:val="Strong"/>
                <w:rFonts w:ascii="Arial" w:hAnsi="Arial" w:cs="Arial"/>
                <w:b w:val="0"/>
                <w:bCs w:val="0"/>
                <w:color w:val="000000"/>
                <w:sz w:val="21"/>
                <w:szCs w:val="21"/>
                <w:bdr w:val="none" w:sz="0" w:space="0" w:color="auto" w:frame="1"/>
                <w:lang w:val="et-EE"/>
              </w:rPr>
            </w:pPr>
            <w:r>
              <w:rPr>
                <w:rStyle w:val="Strong"/>
                <w:rFonts w:ascii="Arial" w:hAnsi="Arial" w:cs="Arial"/>
                <w:b w:val="0"/>
                <w:bCs w:val="0"/>
                <w:color w:val="000000"/>
                <w:sz w:val="21"/>
                <w:szCs w:val="21"/>
                <w:bdr w:val="none" w:sz="0" w:space="0" w:color="auto" w:frame="1"/>
                <w:lang w:val="et-EE"/>
              </w:rPr>
              <w:t>Määruse eelnõu Lisa 1 ja Lisa 3</w:t>
            </w:r>
          </w:p>
        </w:tc>
        <w:tc>
          <w:tcPr>
            <w:tcW w:w="2974" w:type="dxa"/>
          </w:tcPr>
          <w:p w14:paraId="6E542CE5" w14:textId="2221F799" w:rsidR="00A962CC" w:rsidRPr="00A962CC" w:rsidRDefault="003C17DF">
            <w:pPr>
              <w:rPr>
                <w:lang w:val="et-EE"/>
              </w:rPr>
            </w:pPr>
            <w:r w:rsidRPr="00A962CC">
              <w:rPr>
                <w:lang w:val="et-EE"/>
              </w:rPr>
              <w:t xml:space="preserve">Seoses </w:t>
            </w:r>
            <w:r w:rsidR="00BE3814">
              <w:rPr>
                <w:lang w:val="et-EE"/>
              </w:rPr>
              <w:t>eelkooskõlastusringil olnud</w:t>
            </w:r>
            <w:r>
              <w:t xml:space="preserve"> ettepanekuga</w:t>
            </w:r>
            <w:r>
              <w:rPr>
                <w:lang w:val="et-EE"/>
              </w:rPr>
              <w:t xml:space="preserve"> t</w:t>
            </w:r>
            <w:r w:rsidRPr="00A962CC">
              <w:rPr>
                <w:lang w:val="et-EE"/>
              </w:rPr>
              <w:t xml:space="preserve">äpsustada ka määruse muutmise eelnõu lisas 1 esimese referentsprotseduuri nimetus "Hamba röntgenülesvõte" nimetusega "Alumise purihamba </w:t>
            </w:r>
            <w:proofErr w:type="spellStart"/>
            <w:r w:rsidRPr="00A962CC">
              <w:rPr>
                <w:lang w:val="et-EE"/>
              </w:rPr>
              <w:t>intraoraalne</w:t>
            </w:r>
            <w:proofErr w:type="spellEnd"/>
            <w:r w:rsidRPr="00A962CC">
              <w:rPr>
                <w:lang w:val="et-EE"/>
              </w:rPr>
              <w:t xml:space="preserve"> röntgenülesvõte", vastavalt tuleks teha selle referentsprotseduuri nimetuse parandus ka määruse muutmise eelnõu lisas 3.</w:t>
            </w:r>
          </w:p>
        </w:tc>
        <w:tc>
          <w:tcPr>
            <w:tcW w:w="4160" w:type="dxa"/>
          </w:tcPr>
          <w:p w14:paraId="2E4B3F89" w14:textId="1E64E510" w:rsidR="00A962CC" w:rsidRPr="00A962CC" w:rsidRDefault="003C17DF">
            <w:pPr>
              <w:rPr>
                <w:lang w:val="et-EE"/>
              </w:rPr>
            </w:pPr>
            <w:r>
              <w:rPr>
                <w:lang w:val="et-EE"/>
              </w:rPr>
              <w:t>E</w:t>
            </w:r>
            <w:r w:rsidRPr="00A962CC">
              <w:rPr>
                <w:lang w:val="et-EE"/>
              </w:rPr>
              <w:t xml:space="preserve">rinevate hammaste ülesvõteteks vajalikud kiirgusdoosid ja samuti kasutatavad röntgenülesvõtete tehnikad (sh </w:t>
            </w:r>
            <w:proofErr w:type="spellStart"/>
            <w:r w:rsidRPr="00A962CC">
              <w:rPr>
                <w:lang w:val="et-EE"/>
              </w:rPr>
              <w:t>intraoraalsed</w:t>
            </w:r>
            <w:proofErr w:type="spellEnd"/>
            <w:r w:rsidRPr="00A962CC">
              <w:rPr>
                <w:lang w:val="et-EE"/>
              </w:rPr>
              <w:t xml:space="preserve"> ja ekstraoraalsed röntgenülesvõtted) on erinevad ja ei ole sellist üldist protseduuri nagu "Hamba röntgenülesvõte". Isegi kui määruse põhitekstis on "hambaröntgenülesvõtete" all mõeldud ainult </w:t>
            </w:r>
            <w:proofErr w:type="spellStart"/>
            <w:r w:rsidRPr="00A962CC">
              <w:rPr>
                <w:lang w:val="et-EE"/>
              </w:rPr>
              <w:t>intraoraalseid</w:t>
            </w:r>
            <w:proofErr w:type="spellEnd"/>
            <w:r w:rsidRPr="00A962CC">
              <w:rPr>
                <w:lang w:val="et-EE"/>
              </w:rPr>
              <w:t xml:space="preserve"> ja panoraamülesvõtteid, siis määruse lisas 1 on </w:t>
            </w:r>
            <w:proofErr w:type="spellStart"/>
            <w:r w:rsidRPr="00A962CC">
              <w:rPr>
                <w:lang w:val="et-EE"/>
              </w:rPr>
              <w:t>ortopantomograafia</w:t>
            </w:r>
            <w:proofErr w:type="spellEnd"/>
            <w:r w:rsidRPr="00A962CC">
              <w:rPr>
                <w:lang w:val="et-EE"/>
              </w:rPr>
              <w:t xml:space="preserve"> (panoraamülesvõtted) juba eraldi referentsprotseduur.</w:t>
            </w:r>
          </w:p>
        </w:tc>
        <w:tc>
          <w:tcPr>
            <w:tcW w:w="1661" w:type="dxa"/>
          </w:tcPr>
          <w:p w14:paraId="17D1254B" w14:textId="284D7BF4" w:rsidR="00A962CC" w:rsidRPr="00A962CC" w:rsidRDefault="003C17DF">
            <w:pPr>
              <w:rPr>
                <w:lang w:val="et-EE"/>
              </w:rPr>
            </w:pPr>
            <w:r w:rsidRPr="00A962CC">
              <w:rPr>
                <w:lang w:val="et-EE"/>
              </w:rPr>
              <w:t>Oluline tähelepanek</w:t>
            </w:r>
          </w:p>
        </w:tc>
      </w:tr>
      <w:tr w:rsidR="000F2776" w:rsidRPr="00A962CC" w14:paraId="34606FB5" w14:textId="77777777" w:rsidTr="00D554DF">
        <w:tc>
          <w:tcPr>
            <w:tcW w:w="1225" w:type="dxa"/>
          </w:tcPr>
          <w:p w14:paraId="58E95A36" w14:textId="4153D199" w:rsidR="00263C65" w:rsidRPr="00A962CC" w:rsidRDefault="00A962CC">
            <w:pPr>
              <w:rPr>
                <w:rStyle w:val="Strong"/>
                <w:rFonts w:ascii="Arial" w:hAnsi="Arial" w:cs="Arial"/>
                <w:b w:val="0"/>
                <w:bCs w:val="0"/>
                <w:color w:val="000000"/>
                <w:sz w:val="21"/>
                <w:szCs w:val="21"/>
                <w:bdr w:val="none" w:sz="0" w:space="0" w:color="auto" w:frame="1"/>
                <w:lang w:val="et-EE"/>
              </w:rPr>
            </w:pPr>
            <w:r>
              <w:rPr>
                <w:rStyle w:val="Strong"/>
                <w:rFonts w:ascii="Arial" w:hAnsi="Arial" w:cs="Arial"/>
                <w:b w:val="0"/>
                <w:bCs w:val="0"/>
                <w:color w:val="000000"/>
                <w:sz w:val="21"/>
                <w:szCs w:val="21"/>
                <w:bdr w:val="none" w:sz="0" w:space="0" w:color="auto" w:frame="1"/>
                <w:lang w:val="et-EE"/>
              </w:rPr>
              <w:t xml:space="preserve">Määruse eelnõu </w:t>
            </w:r>
            <w:r w:rsidR="00263C65" w:rsidRPr="00A962CC">
              <w:rPr>
                <w:rStyle w:val="Strong"/>
                <w:rFonts w:ascii="Arial" w:hAnsi="Arial" w:cs="Arial"/>
                <w:b w:val="0"/>
                <w:bCs w:val="0"/>
                <w:color w:val="000000"/>
                <w:sz w:val="21"/>
                <w:szCs w:val="21"/>
                <w:bdr w:val="none" w:sz="0" w:space="0" w:color="auto" w:frame="1"/>
                <w:lang w:val="et-EE"/>
              </w:rPr>
              <w:t>§</w:t>
            </w:r>
            <w:r w:rsidR="00263C65" w:rsidRPr="00A962CC">
              <w:rPr>
                <w:lang w:val="et-EE"/>
              </w:rPr>
              <w:t xml:space="preserve"> 15 lõige </w:t>
            </w:r>
            <w:r w:rsidR="009D3EE6">
              <w:rPr>
                <w:lang w:val="et-EE"/>
              </w:rPr>
              <w:t>4</w:t>
            </w:r>
          </w:p>
        </w:tc>
        <w:tc>
          <w:tcPr>
            <w:tcW w:w="2974" w:type="dxa"/>
          </w:tcPr>
          <w:p w14:paraId="0B36BF1C" w14:textId="5971461E" w:rsidR="00263C65" w:rsidRPr="00A962CC" w:rsidRDefault="00263C65">
            <w:pPr>
              <w:rPr>
                <w:lang w:val="et-EE"/>
              </w:rPr>
            </w:pPr>
            <w:r w:rsidRPr="00A962CC">
              <w:rPr>
                <w:lang w:val="et-EE"/>
              </w:rPr>
              <w:t xml:space="preserve">Viia määrusesse sisse nõue kasutada </w:t>
            </w:r>
            <w:proofErr w:type="spellStart"/>
            <w:r w:rsidRPr="00A962CC">
              <w:rPr>
                <w:lang w:val="et-EE"/>
              </w:rPr>
              <w:t>tavaradiograafia</w:t>
            </w:r>
            <w:proofErr w:type="spellEnd"/>
            <w:r w:rsidRPr="00A962CC">
              <w:rPr>
                <w:lang w:val="et-EE"/>
              </w:rPr>
              <w:t xml:space="preserve"> protseduuride dooside võrdlemisel kalibreerimiskoefitsiente.</w:t>
            </w:r>
          </w:p>
        </w:tc>
        <w:tc>
          <w:tcPr>
            <w:tcW w:w="4160" w:type="dxa"/>
          </w:tcPr>
          <w:p w14:paraId="4E4E4174" w14:textId="06D83DDB" w:rsidR="00263C65" w:rsidRPr="00A962CC" w:rsidRDefault="00263C65">
            <w:pPr>
              <w:rPr>
                <w:lang w:val="et-EE"/>
              </w:rPr>
            </w:pPr>
            <w:r w:rsidRPr="00A962CC">
              <w:rPr>
                <w:lang w:val="et-EE"/>
              </w:rPr>
              <w:t xml:space="preserve">Kalibreerimiskoefitsiente võiks kasutada </w:t>
            </w:r>
            <w:proofErr w:type="spellStart"/>
            <w:r w:rsidRPr="00A962CC">
              <w:rPr>
                <w:lang w:val="et-EE"/>
              </w:rPr>
              <w:t>tavaradiograafias</w:t>
            </w:r>
            <w:proofErr w:type="spellEnd"/>
            <w:r w:rsidRPr="00A962CC">
              <w:rPr>
                <w:lang w:val="et-EE"/>
              </w:rPr>
              <w:t xml:space="preserve"> ja hambaravis, kuna sealne kalibreerimiskoefitsientide leidmine ja kasutamine on lihtne ja tulemuslik ning lisab võrdlemisel täpsust. Muude </w:t>
            </w:r>
            <w:proofErr w:type="spellStart"/>
            <w:r w:rsidRPr="00A962CC">
              <w:rPr>
                <w:lang w:val="et-EE"/>
              </w:rPr>
              <w:t>modaliteetide</w:t>
            </w:r>
            <w:proofErr w:type="spellEnd"/>
            <w:r w:rsidRPr="00A962CC">
              <w:rPr>
                <w:lang w:val="et-EE"/>
              </w:rPr>
              <w:t xml:space="preserve"> (nt KT või angiograafia) puhul kalibreerimiskoefitsiente ei kasuta.</w:t>
            </w:r>
          </w:p>
        </w:tc>
        <w:tc>
          <w:tcPr>
            <w:tcW w:w="1661" w:type="dxa"/>
          </w:tcPr>
          <w:p w14:paraId="2B31E665" w14:textId="77777777" w:rsidR="00263C65" w:rsidRPr="00A962CC" w:rsidRDefault="00263C65">
            <w:pPr>
              <w:rPr>
                <w:lang w:val="et-EE"/>
              </w:rPr>
            </w:pPr>
          </w:p>
        </w:tc>
      </w:tr>
      <w:tr w:rsidR="00F61337" w:rsidRPr="00A962CC" w14:paraId="2EB88638" w14:textId="77777777" w:rsidTr="00D554DF">
        <w:tc>
          <w:tcPr>
            <w:tcW w:w="1225" w:type="dxa"/>
          </w:tcPr>
          <w:p w14:paraId="4AF06753" w14:textId="77777777" w:rsidR="00F61337" w:rsidRDefault="00F61337">
            <w:pPr>
              <w:rPr>
                <w:lang w:val="et-EE"/>
              </w:rPr>
            </w:pPr>
            <w:r>
              <w:rPr>
                <w:rStyle w:val="Strong"/>
                <w:rFonts w:ascii="Arial" w:hAnsi="Arial" w:cs="Arial"/>
                <w:b w:val="0"/>
                <w:bCs w:val="0"/>
                <w:color w:val="000000"/>
                <w:sz w:val="21"/>
                <w:szCs w:val="21"/>
                <w:bdr w:val="none" w:sz="0" w:space="0" w:color="auto" w:frame="1"/>
                <w:lang w:val="et-EE"/>
              </w:rPr>
              <w:t xml:space="preserve">Määruse eelnõu </w:t>
            </w:r>
            <w:r w:rsidRPr="00A962CC">
              <w:rPr>
                <w:rStyle w:val="Strong"/>
                <w:rFonts w:ascii="Arial" w:hAnsi="Arial" w:cs="Arial"/>
                <w:b w:val="0"/>
                <w:bCs w:val="0"/>
                <w:color w:val="000000"/>
                <w:sz w:val="21"/>
                <w:szCs w:val="21"/>
                <w:bdr w:val="none" w:sz="0" w:space="0" w:color="auto" w:frame="1"/>
                <w:lang w:val="et-EE"/>
              </w:rPr>
              <w:t>§</w:t>
            </w:r>
            <w:r w:rsidRPr="00A962CC">
              <w:rPr>
                <w:lang w:val="et-EE"/>
              </w:rPr>
              <w:t xml:space="preserve"> 2</w:t>
            </w:r>
          </w:p>
          <w:p w14:paraId="28035BB1" w14:textId="73878319" w:rsidR="00DA3DFE" w:rsidRDefault="00DA3DFE">
            <w:pPr>
              <w:rPr>
                <w:rStyle w:val="Strong"/>
                <w:rFonts w:ascii="Arial" w:hAnsi="Arial" w:cs="Arial"/>
                <w:b w:val="0"/>
                <w:bCs w:val="0"/>
                <w:color w:val="000000"/>
                <w:sz w:val="21"/>
                <w:szCs w:val="21"/>
                <w:bdr w:val="none" w:sz="0" w:space="0" w:color="auto" w:frame="1"/>
                <w:lang w:val="et-EE"/>
              </w:rPr>
            </w:pPr>
            <w:r>
              <w:rPr>
                <w:rStyle w:val="Strong"/>
                <w:rFonts w:ascii="Arial" w:hAnsi="Arial" w:cs="Arial"/>
                <w:b w:val="0"/>
                <w:bCs w:val="0"/>
                <w:color w:val="000000"/>
                <w:sz w:val="21"/>
                <w:szCs w:val="21"/>
                <w:bdr w:val="none" w:sz="0" w:space="0" w:color="auto" w:frame="1"/>
                <w:lang w:val="et-EE"/>
              </w:rPr>
              <w:t>ja</w:t>
            </w:r>
          </w:p>
          <w:p w14:paraId="3FF84010" w14:textId="003E211B" w:rsidR="00DA3DFE" w:rsidRDefault="00DA3DFE" w:rsidP="00DA3DFE">
            <w:pPr>
              <w:rPr>
                <w:lang w:val="et-EE"/>
              </w:rPr>
            </w:pPr>
            <w:r w:rsidRPr="00A962CC">
              <w:rPr>
                <w:rStyle w:val="Strong"/>
                <w:rFonts w:ascii="Arial" w:hAnsi="Arial" w:cs="Arial"/>
                <w:b w:val="0"/>
                <w:bCs w:val="0"/>
                <w:color w:val="000000"/>
                <w:sz w:val="21"/>
                <w:szCs w:val="21"/>
                <w:bdr w:val="none" w:sz="0" w:space="0" w:color="auto" w:frame="1"/>
                <w:lang w:val="et-EE"/>
              </w:rPr>
              <w:t>§</w:t>
            </w:r>
            <w:r w:rsidRPr="00A962CC">
              <w:rPr>
                <w:lang w:val="et-EE"/>
              </w:rPr>
              <w:t xml:space="preserve"> </w:t>
            </w:r>
            <w:r>
              <w:rPr>
                <w:lang w:val="et-EE"/>
              </w:rPr>
              <w:t>15 lõige 10 punkt 2 koosmõju</w:t>
            </w:r>
          </w:p>
          <w:p w14:paraId="548441A5" w14:textId="0AAC9327" w:rsidR="00DA3DFE" w:rsidRDefault="00DA3DFE">
            <w:pPr>
              <w:rPr>
                <w:rStyle w:val="Strong"/>
                <w:rFonts w:ascii="Arial" w:hAnsi="Arial" w:cs="Arial"/>
                <w:b w:val="0"/>
                <w:bCs w:val="0"/>
                <w:color w:val="000000"/>
                <w:sz w:val="21"/>
                <w:szCs w:val="21"/>
                <w:bdr w:val="none" w:sz="0" w:space="0" w:color="auto" w:frame="1"/>
                <w:lang w:val="et-EE"/>
              </w:rPr>
            </w:pPr>
          </w:p>
        </w:tc>
        <w:tc>
          <w:tcPr>
            <w:tcW w:w="2974" w:type="dxa"/>
          </w:tcPr>
          <w:p w14:paraId="70D7392B" w14:textId="64C95DEC" w:rsidR="00F61337" w:rsidRDefault="00F61337">
            <w:pPr>
              <w:rPr>
                <w:lang w:val="et-EE"/>
              </w:rPr>
            </w:pPr>
            <w:r>
              <w:rPr>
                <w:lang w:val="et-EE"/>
              </w:rPr>
              <w:t>Määruse jõustumine alates 01.01.2025</w:t>
            </w:r>
          </w:p>
        </w:tc>
        <w:tc>
          <w:tcPr>
            <w:tcW w:w="4160" w:type="dxa"/>
          </w:tcPr>
          <w:p w14:paraId="0BB92BD9" w14:textId="22F2EBD8" w:rsidR="00F61337" w:rsidRDefault="00F61337">
            <w:pPr>
              <w:rPr>
                <w:lang w:val="et-EE"/>
              </w:rPr>
            </w:pPr>
            <w:r>
              <w:rPr>
                <w:lang w:val="et-EE"/>
              </w:rPr>
              <w:t>Määruse jõustumisele peaks andma pikema üleminekuaja.</w:t>
            </w:r>
            <w:r w:rsidR="00DA3DFE">
              <w:rPr>
                <w:lang w:val="et-EE"/>
              </w:rPr>
              <w:t xml:space="preserve"> Suhteliselt lühikese järelejäänud aja (4 kuud 2024. aastast) jooksul on raskendatud andmete doosikogumine ja sellest tulenevalt andmekvaliteet.</w:t>
            </w:r>
          </w:p>
        </w:tc>
        <w:tc>
          <w:tcPr>
            <w:tcW w:w="1661" w:type="dxa"/>
          </w:tcPr>
          <w:p w14:paraId="59D3D5A8" w14:textId="492FA8B1" w:rsidR="00F61337" w:rsidRDefault="00F61337">
            <w:pPr>
              <w:rPr>
                <w:lang w:val="et-EE"/>
              </w:rPr>
            </w:pPr>
            <w:r>
              <w:rPr>
                <w:lang w:val="et-EE"/>
              </w:rPr>
              <w:t>Oluline ettepanek</w:t>
            </w:r>
          </w:p>
        </w:tc>
      </w:tr>
      <w:tr w:rsidR="00340777" w:rsidRPr="00A962CC" w14:paraId="274C11C2" w14:textId="77777777" w:rsidTr="00D554DF">
        <w:tc>
          <w:tcPr>
            <w:tcW w:w="1225" w:type="dxa"/>
          </w:tcPr>
          <w:p w14:paraId="4C7AA4C6" w14:textId="77777777" w:rsidR="00340777" w:rsidRDefault="00340777" w:rsidP="00340777">
            <w:pPr>
              <w:rPr>
                <w:lang w:val="et-EE"/>
              </w:rPr>
            </w:pPr>
            <w:r>
              <w:rPr>
                <w:rStyle w:val="Strong"/>
                <w:rFonts w:ascii="Arial" w:hAnsi="Arial" w:cs="Arial"/>
                <w:b w:val="0"/>
                <w:bCs w:val="0"/>
                <w:color w:val="000000"/>
                <w:sz w:val="21"/>
                <w:szCs w:val="21"/>
                <w:bdr w:val="none" w:sz="0" w:space="0" w:color="auto" w:frame="1"/>
                <w:lang w:val="et-EE"/>
              </w:rPr>
              <w:t xml:space="preserve">Määruse eelnõu </w:t>
            </w:r>
            <w:r w:rsidRPr="00A962CC">
              <w:rPr>
                <w:rStyle w:val="Strong"/>
                <w:rFonts w:ascii="Arial" w:hAnsi="Arial" w:cs="Arial"/>
                <w:b w:val="0"/>
                <w:bCs w:val="0"/>
                <w:color w:val="000000"/>
                <w:sz w:val="21"/>
                <w:szCs w:val="21"/>
                <w:bdr w:val="none" w:sz="0" w:space="0" w:color="auto" w:frame="1"/>
                <w:lang w:val="et-EE"/>
              </w:rPr>
              <w:t>§</w:t>
            </w:r>
            <w:r w:rsidRPr="00A962CC">
              <w:rPr>
                <w:lang w:val="et-EE"/>
              </w:rPr>
              <w:t xml:space="preserve"> 2</w:t>
            </w:r>
          </w:p>
          <w:p w14:paraId="377EAA25" w14:textId="3DF94542" w:rsidR="00340777" w:rsidRDefault="00340777" w:rsidP="00340777">
            <w:pPr>
              <w:rPr>
                <w:rStyle w:val="Strong"/>
                <w:rFonts w:ascii="Arial" w:hAnsi="Arial" w:cs="Arial"/>
                <w:b w:val="0"/>
                <w:bCs w:val="0"/>
                <w:color w:val="000000"/>
                <w:sz w:val="21"/>
                <w:szCs w:val="21"/>
                <w:bdr w:val="none" w:sz="0" w:space="0" w:color="auto" w:frame="1"/>
                <w:lang w:val="et-EE"/>
              </w:rPr>
            </w:pPr>
            <w:r>
              <w:rPr>
                <w:lang w:val="et-EE"/>
              </w:rPr>
              <w:t>punkt 2</w:t>
            </w:r>
            <w:r>
              <w:rPr>
                <w:lang w:val="et-EE"/>
              </w:rPr>
              <w:t>0</w:t>
            </w:r>
          </w:p>
        </w:tc>
        <w:tc>
          <w:tcPr>
            <w:tcW w:w="2974" w:type="dxa"/>
          </w:tcPr>
          <w:p w14:paraId="11521048" w14:textId="012C3D35" w:rsidR="00340777" w:rsidRDefault="00340777">
            <w:pPr>
              <w:rPr>
                <w:lang w:val="et-EE"/>
              </w:rPr>
            </w:pPr>
            <w:r>
              <w:rPr>
                <w:lang w:val="et-EE"/>
              </w:rPr>
              <w:t>Asendada mõiste standardsuuruses patsiendi</w:t>
            </w:r>
            <w:r w:rsidR="00525A92">
              <w:rPr>
                <w:lang w:val="et-EE"/>
              </w:rPr>
              <w:t xml:space="preserve"> </w:t>
            </w:r>
            <w:r>
              <w:rPr>
                <w:lang w:val="et-EE"/>
              </w:rPr>
              <w:t xml:space="preserve">patsiendidoos mõistega </w:t>
            </w:r>
            <w:r>
              <w:rPr>
                <w:lang w:val="et-EE"/>
              </w:rPr>
              <w:lastRenderedPageBreak/>
              <w:t>referentssuuruses patsiendi kiirgusdoos</w:t>
            </w:r>
            <w:r w:rsidR="00525A92">
              <w:rPr>
                <w:lang w:val="et-EE"/>
              </w:rPr>
              <w:t xml:space="preserve"> või referentspatsiendi kiirgusdoos</w:t>
            </w:r>
          </w:p>
        </w:tc>
        <w:tc>
          <w:tcPr>
            <w:tcW w:w="4160" w:type="dxa"/>
          </w:tcPr>
          <w:p w14:paraId="14474E89" w14:textId="48C0E5F9" w:rsidR="00340777" w:rsidRDefault="00340777">
            <w:pPr>
              <w:rPr>
                <w:lang w:val="et-EE"/>
              </w:rPr>
            </w:pPr>
            <w:r>
              <w:rPr>
                <w:lang w:val="et-EE"/>
              </w:rPr>
              <w:lastRenderedPageBreak/>
              <w:t xml:space="preserve">Määrus käsitleb referentsprotseduure ja nende referentsdoose, mõistete selguse mõttes oleks korrektne kasutada referentssuuruses patsiendi </w:t>
            </w:r>
            <w:r>
              <w:rPr>
                <w:lang w:val="et-EE"/>
              </w:rPr>
              <w:lastRenderedPageBreak/>
              <w:t>mõistet, kuna patsientide suurus pole standardiseeritud vaid standardiseeritud on referentsgrupi tingimused, kuhu patsiente valitakse. Patsiendidoosina mõeldakse enamasti efektiivdoosi. Kuna referentsdoosid ei ole aga efektiivdoosid vaid muud kiirgusdooside füüsikalised suurused oleks korrektne nimetada neid patsiendidoosi asemel üldisemalt kiirgusdoosiks.</w:t>
            </w:r>
          </w:p>
        </w:tc>
        <w:tc>
          <w:tcPr>
            <w:tcW w:w="1661" w:type="dxa"/>
          </w:tcPr>
          <w:p w14:paraId="0E9C8FFA" w14:textId="7C0EB7F0" w:rsidR="00340777" w:rsidRDefault="00340777">
            <w:pPr>
              <w:rPr>
                <w:lang w:val="et-EE"/>
              </w:rPr>
            </w:pPr>
            <w:r>
              <w:rPr>
                <w:lang w:val="et-EE"/>
              </w:rPr>
              <w:lastRenderedPageBreak/>
              <w:t>Oluline ettepanek</w:t>
            </w:r>
          </w:p>
        </w:tc>
      </w:tr>
      <w:tr w:rsidR="0027523C" w:rsidRPr="00A962CC" w14:paraId="000DBCB0" w14:textId="77777777" w:rsidTr="00D554DF">
        <w:tc>
          <w:tcPr>
            <w:tcW w:w="1225" w:type="dxa"/>
          </w:tcPr>
          <w:p w14:paraId="319FE621" w14:textId="7347B773" w:rsidR="0027523C" w:rsidRDefault="0027523C" w:rsidP="0027523C">
            <w:pPr>
              <w:rPr>
                <w:lang w:val="et-EE"/>
              </w:rPr>
            </w:pPr>
            <w:r>
              <w:rPr>
                <w:rStyle w:val="Strong"/>
                <w:rFonts w:ascii="Arial" w:hAnsi="Arial" w:cs="Arial"/>
                <w:b w:val="0"/>
                <w:bCs w:val="0"/>
                <w:color w:val="000000"/>
                <w:sz w:val="21"/>
                <w:szCs w:val="21"/>
                <w:bdr w:val="none" w:sz="0" w:space="0" w:color="auto" w:frame="1"/>
                <w:lang w:val="et-EE"/>
              </w:rPr>
              <w:t xml:space="preserve">Määruse eelnõu </w:t>
            </w:r>
            <w:r w:rsidRPr="00A962CC">
              <w:rPr>
                <w:rStyle w:val="Strong"/>
                <w:rFonts w:ascii="Arial" w:hAnsi="Arial" w:cs="Arial"/>
                <w:b w:val="0"/>
                <w:bCs w:val="0"/>
                <w:color w:val="000000"/>
                <w:sz w:val="21"/>
                <w:szCs w:val="21"/>
                <w:bdr w:val="none" w:sz="0" w:space="0" w:color="auto" w:frame="1"/>
                <w:lang w:val="et-EE"/>
              </w:rPr>
              <w:t>§</w:t>
            </w:r>
            <w:r w:rsidRPr="00A962CC">
              <w:rPr>
                <w:lang w:val="et-EE"/>
              </w:rPr>
              <w:t xml:space="preserve"> </w:t>
            </w:r>
            <w:r>
              <w:rPr>
                <w:lang w:val="et-EE"/>
              </w:rPr>
              <w:t>14</w:t>
            </w:r>
          </w:p>
          <w:p w14:paraId="5709196C" w14:textId="1665C7E9" w:rsidR="0027523C" w:rsidRDefault="0027523C" w:rsidP="0027523C">
            <w:pPr>
              <w:rPr>
                <w:rStyle w:val="Strong"/>
                <w:rFonts w:ascii="Arial" w:hAnsi="Arial" w:cs="Arial"/>
                <w:b w:val="0"/>
                <w:bCs w:val="0"/>
                <w:color w:val="000000"/>
                <w:sz w:val="21"/>
                <w:szCs w:val="21"/>
                <w:bdr w:val="none" w:sz="0" w:space="0" w:color="auto" w:frame="1"/>
                <w:lang w:val="et-EE"/>
              </w:rPr>
            </w:pPr>
            <w:r>
              <w:rPr>
                <w:lang w:val="et-EE"/>
              </w:rPr>
              <w:t>Lõige 3</w:t>
            </w:r>
          </w:p>
        </w:tc>
        <w:tc>
          <w:tcPr>
            <w:tcW w:w="2974" w:type="dxa"/>
          </w:tcPr>
          <w:p w14:paraId="132136BA" w14:textId="0A348897" w:rsidR="0027523C" w:rsidRDefault="0027523C">
            <w:pPr>
              <w:rPr>
                <w:lang w:val="et-EE"/>
              </w:rPr>
            </w:pPr>
            <w:r>
              <w:rPr>
                <w:lang w:val="et-EE"/>
              </w:rPr>
              <w:t xml:space="preserve">Täiendada määruse sõnastust: </w:t>
            </w:r>
            <w:r w:rsidRPr="0027523C">
              <w:rPr>
                <w:lang w:val="et-EE"/>
              </w:rPr>
              <w:t xml:space="preserve">Kiirgustegevusloa omaja tagab tegevusjuhiste olemasolu </w:t>
            </w:r>
            <w:proofErr w:type="spellStart"/>
            <w:r w:rsidRPr="0027523C">
              <w:rPr>
                <w:lang w:val="et-EE"/>
              </w:rPr>
              <w:t>nukleaarmeditsiini</w:t>
            </w:r>
            <w:proofErr w:type="spellEnd"/>
            <w:r w:rsidRPr="0027523C">
              <w:rPr>
                <w:lang w:val="et-EE"/>
              </w:rPr>
              <w:t xml:space="preserve"> ja </w:t>
            </w:r>
            <w:r w:rsidRPr="0027523C">
              <w:rPr>
                <w:b/>
                <w:bCs/>
                <w:u w:val="single"/>
                <w:lang w:val="et-EE"/>
              </w:rPr>
              <w:t>permanentsete allikatega</w:t>
            </w:r>
            <w:r>
              <w:rPr>
                <w:lang w:val="et-EE"/>
              </w:rPr>
              <w:t xml:space="preserve"> </w:t>
            </w:r>
            <w:proofErr w:type="spellStart"/>
            <w:r w:rsidRPr="0027523C">
              <w:rPr>
                <w:lang w:val="et-EE"/>
              </w:rPr>
              <w:t>lähikiiritusravi</w:t>
            </w:r>
            <w:proofErr w:type="spellEnd"/>
            <w:r w:rsidRPr="0027523C">
              <w:rPr>
                <w:lang w:val="et-EE"/>
              </w:rPr>
              <w:t xml:space="preserve"> protseduuri läbinud patsiendi haiglast väljakirjutamiseks ja patsiendile edasiste kiirgusohutusalaste soovituste andmiseks.</w:t>
            </w:r>
          </w:p>
        </w:tc>
        <w:tc>
          <w:tcPr>
            <w:tcW w:w="4160" w:type="dxa"/>
          </w:tcPr>
          <w:p w14:paraId="7C3D4606" w14:textId="5C72A84F" w:rsidR="0027523C" w:rsidRDefault="0027523C">
            <w:pPr>
              <w:rPr>
                <w:lang w:val="et-EE"/>
              </w:rPr>
            </w:pPr>
            <w:r>
              <w:rPr>
                <w:lang w:val="et-EE"/>
              </w:rPr>
              <w:t>Ilmselt on muudatusega</w:t>
            </w:r>
            <w:r w:rsidRPr="0027523C">
              <w:rPr>
                <w:lang w:val="et-EE"/>
              </w:rPr>
              <w:t xml:space="preserve"> mõeldud madala doosikiirusega alaliste allikatega </w:t>
            </w:r>
            <w:proofErr w:type="spellStart"/>
            <w:r w:rsidRPr="0027523C">
              <w:rPr>
                <w:lang w:val="et-EE"/>
              </w:rPr>
              <w:t>lähiravi</w:t>
            </w:r>
            <w:proofErr w:type="spellEnd"/>
            <w:r w:rsidRPr="0027523C">
              <w:rPr>
                <w:lang w:val="et-EE"/>
              </w:rPr>
              <w:t>, aga kuna on sõna „</w:t>
            </w:r>
            <w:proofErr w:type="spellStart"/>
            <w:r w:rsidRPr="0027523C">
              <w:rPr>
                <w:lang w:val="et-EE"/>
              </w:rPr>
              <w:t>lähiravi</w:t>
            </w:r>
            <w:proofErr w:type="spellEnd"/>
            <w:r w:rsidRPr="0027523C">
              <w:rPr>
                <w:lang w:val="et-EE"/>
              </w:rPr>
              <w:t>“, siis hakka</w:t>
            </w:r>
            <w:r>
              <w:rPr>
                <w:lang w:val="et-EE"/>
              </w:rPr>
              <w:t>ks</w:t>
            </w:r>
            <w:r w:rsidRPr="0027523C">
              <w:rPr>
                <w:lang w:val="et-EE"/>
              </w:rPr>
              <w:t xml:space="preserve"> see kehtima kõikidele </w:t>
            </w:r>
            <w:proofErr w:type="spellStart"/>
            <w:r w:rsidRPr="0027523C">
              <w:rPr>
                <w:lang w:val="et-EE"/>
              </w:rPr>
              <w:t>lähiravi</w:t>
            </w:r>
            <w:proofErr w:type="spellEnd"/>
            <w:r w:rsidRPr="0027523C">
              <w:rPr>
                <w:lang w:val="et-EE"/>
              </w:rPr>
              <w:t xml:space="preserve"> patsientidele, kaasa arvatud neile kelle kehasse midagi ei </w:t>
            </w:r>
            <w:proofErr w:type="spellStart"/>
            <w:r w:rsidRPr="0027523C">
              <w:rPr>
                <w:lang w:val="et-EE"/>
              </w:rPr>
              <w:t>implanteerita</w:t>
            </w:r>
            <w:proofErr w:type="spellEnd"/>
            <w:r w:rsidRPr="0027523C">
              <w:rPr>
                <w:lang w:val="et-EE"/>
              </w:rPr>
              <w:t>.</w:t>
            </w:r>
            <w:r>
              <w:rPr>
                <w:lang w:val="et-EE"/>
              </w:rPr>
              <w:t xml:space="preserve"> </w:t>
            </w:r>
            <w:r w:rsidRPr="0027523C">
              <w:rPr>
                <w:lang w:val="et-EE"/>
              </w:rPr>
              <w:t xml:space="preserve">Sinna peaks lisama püsivate allikatega / permanentsete allikatega </w:t>
            </w:r>
            <w:proofErr w:type="spellStart"/>
            <w:r w:rsidRPr="0027523C">
              <w:rPr>
                <w:lang w:val="et-EE"/>
              </w:rPr>
              <w:t>lähiravi</w:t>
            </w:r>
            <w:proofErr w:type="spellEnd"/>
            <w:r w:rsidRPr="0027523C">
              <w:rPr>
                <w:lang w:val="et-EE"/>
              </w:rPr>
              <w:t xml:space="preserve"> korral (kui patsient läheb koos allikaga haiglast välja). HDR ravi puhul see nii ei ole ja tegevus on ebavajalik.</w:t>
            </w:r>
          </w:p>
        </w:tc>
        <w:tc>
          <w:tcPr>
            <w:tcW w:w="1661" w:type="dxa"/>
          </w:tcPr>
          <w:p w14:paraId="55B446D2" w14:textId="1D550BFF" w:rsidR="0027523C" w:rsidRDefault="0027523C">
            <w:pPr>
              <w:rPr>
                <w:lang w:val="et-EE"/>
              </w:rPr>
            </w:pPr>
            <w:r>
              <w:rPr>
                <w:lang w:val="et-EE"/>
              </w:rPr>
              <w:t>Oluline ettepanek</w:t>
            </w:r>
          </w:p>
        </w:tc>
      </w:tr>
      <w:tr w:rsidR="0016370E" w:rsidRPr="00A962CC" w14:paraId="04F5A863" w14:textId="77777777" w:rsidTr="00D554DF">
        <w:tc>
          <w:tcPr>
            <w:tcW w:w="1225" w:type="dxa"/>
          </w:tcPr>
          <w:p w14:paraId="3F8866E0" w14:textId="2F98E73C" w:rsidR="0016370E" w:rsidRDefault="0016370E" w:rsidP="0027523C">
            <w:pPr>
              <w:rPr>
                <w:rStyle w:val="Strong"/>
                <w:rFonts w:ascii="Arial" w:hAnsi="Arial" w:cs="Arial"/>
                <w:b w:val="0"/>
                <w:bCs w:val="0"/>
                <w:color w:val="000000"/>
                <w:sz w:val="21"/>
                <w:szCs w:val="21"/>
                <w:bdr w:val="none" w:sz="0" w:space="0" w:color="auto" w:frame="1"/>
                <w:lang w:val="et-EE"/>
              </w:rPr>
            </w:pPr>
            <w:r>
              <w:rPr>
                <w:rStyle w:val="Strong"/>
                <w:rFonts w:ascii="Arial" w:hAnsi="Arial" w:cs="Arial"/>
                <w:b w:val="0"/>
                <w:bCs w:val="0"/>
                <w:color w:val="000000"/>
                <w:sz w:val="21"/>
                <w:szCs w:val="21"/>
                <w:bdr w:val="none" w:sz="0" w:space="0" w:color="auto" w:frame="1"/>
                <w:lang w:val="et-EE"/>
              </w:rPr>
              <w:t>Tervishoiuteenuse korraldamise seadus</w:t>
            </w:r>
          </w:p>
        </w:tc>
        <w:tc>
          <w:tcPr>
            <w:tcW w:w="2974" w:type="dxa"/>
          </w:tcPr>
          <w:p w14:paraId="6EDF819A" w14:textId="73AAA2BC" w:rsidR="0016370E" w:rsidRDefault="0016370E">
            <w:pPr>
              <w:rPr>
                <w:lang w:val="et-EE"/>
              </w:rPr>
            </w:pPr>
            <w:r>
              <w:rPr>
                <w:lang w:val="et-EE"/>
              </w:rPr>
              <w:t xml:space="preserve">Ettepanek alustada Tervishoiuteenuse korraldamise seaduse muutmist, et </w:t>
            </w:r>
            <w:r>
              <w:rPr>
                <w:lang w:val="et-EE"/>
              </w:rPr>
              <w:t>meditsiinifüüsikud ja radioloogidatehnikud liigitada tervishoiutöötajateks</w:t>
            </w:r>
          </w:p>
        </w:tc>
        <w:tc>
          <w:tcPr>
            <w:tcW w:w="4160" w:type="dxa"/>
          </w:tcPr>
          <w:p w14:paraId="0F7BF62C" w14:textId="475AD1DE" w:rsidR="0016370E" w:rsidRDefault="0016370E">
            <w:pPr>
              <w:rPr>
                <w:lang w:val="et-EE"/>
              </w:rPr>
            </w:pPr>
            <w:r>
              <w:rPr>
                <w:lang w:val="et-EE"/>
              </w:rPr>
              <w:t>2021. aastal toimunud IAEA (Rahvusvaheline Aatomienergia Agentuur) nõuandva missiooni käigus juhiti tähelepanu, et meditsiinifüüsikud ja radioloogidatehnikud tuleb liigitada tervishoiutöötajateks</w:t>
            </w:r>
          </w:p>
        </w:tc>
        <w:tc>
          <w:tcPr>
            <w:tcW w:w="1661" w:type="dxa"/>
          </w:tcPr>
          <w:p w14:paraId="219FA7D0" w14:textId="15A601B3" w:rsidR="0016370E" w:rsidRDefault="0016370E">
            <w:pPr>
              <w:rPr>
                <w:lang w:val="et-EE"/>
              </w:rPr>
            </w:pPr>
            <w:r>
              <w:rPr>
                <w:lang w:val="et-EE"/>
              </w:rPr>
              <w:t>Kriitiline ettepanek</w:t>
            </w:r>
          </w:p>
        </w:tc>
      </w:tr>
      <w:tr w:rsidR="0016370E" w:rsidRPr="00A962CC" w14:paraId="2FFDE8EE" w14:textId="77777777" w:rsidTr="00D554DF">
        <w:tc>
          <w:tcPr>
            <w:tcW w:w="1225" w:type="dxa"/>
          </w:tcPr>
          <w:p w14:paraId="0DFA2094" w14:textId="19709893" w:rsidR="0016370E" w:rsidRDefault="0016370E" w:rsidP="0027523C">
            <w:pPr>
              <w:rPr>
                <w:rStyle w:val="Strong"/>
                <w:rFonts w:ascii="Arial" w:hAnsi="Arial" w:cs="Arial"/>
                <w:b w:val="0"/>
                <w:bCs w:val="0"/>
                <w:color w:val="000000"/>
                <w:sz w:val="21"/>
                <w:szCs w:val="21"/>
                <w:bdr w:val="none" w:sz="0" w:space="0" w:color="auto" w:frame="1"/>
                <w:lang w:val="et-EE"/>
              </w:rPr>
            </w:pPr>
            <w:r>
              <w:rPr>
                <w:rStyle w:val="Strong"/>
                <w:rFonts w:ascii="Arial" w:hAnsi="Arial" w:cs="Arial"/>
                <w:b w:val="0"/>
                <w:bCs w:val="0"/>
                <w:color w:val="000000"/>
                <w:sz w:val="21"/>
                <w:szCs w:val="21"/>
                <w:bdr w:val="none" w:sz="0" w:space="0" w:color="auto" w:frame="1"/>
                <w:lang w:val="et-EE"/>
              </w:rPr>
              <w:t>M</w:t>
            </w:r>
            <w:r w:rsidRPr="0016370E">
              <w:rPr>
                <w:rStyle w:val="Strong"/>
                <w:rFonts w:ascii="Arial" w:hAnsi="Arial" w:cs="Arial"/>
                <w:b w:val="0"/>
                <w:bCs w:val="0"/>
                <w:color w:val="000000"/>
                <w:sz w:val="21"/>
                <w:szCs w:val="21"/>
                <w:bdr w:val="none" w:sz="0" w:space="0" w:color="auto" w:frame="1"/>
                <w:lang w:val="et-EE"/>
              </w:rPr>
              <w:t xml:space="preserve">ääruse </w:t>
            </w:r>
            <w:r w:rsidRPr="00A962CC">
              <w:rPr>
                <w:rStyle w:val="Strong"/>
                <w:rFonts w:ascii="Arial" w:hAnsi="Arial" w:cs="Arial"/>
                <w:b w:val="0"/>
                <w:bCs w:val="0"/>
                <w:color w:val="000000"/>
                <w:sz w:val="21"/>
                <w:szCs w:val="21"/>
                <w:bdr w:val="none" w:sz="0" w:space="0" w:color="auto" w:frame="1"/>
                <w:lang w:val="et-EE"/>
              </w:rPr>
              <w:t>§</w:t>
            </w:r>
            <w:r>
              <w:rPr>
                <w:rStyle w:val="Strong"/>
                <w:rFonts w:ascii="Arial" w:hAnsi="Arial" w:cs="Arial"/>
                <w:b w:val="0"/>
                <w:bCs w:val="0"/>
                <w:color w:val="000000"/>
                <w:sz w:val="21"/>
                <w:szCs w:val="21"/>
                <w:bdr w:val="none" w:sz="0" w:space="0" w:color="auto" w:frame="1"/>
                <w:lang w:val="et-EE"/>
              </w:rPr>
              <w:t xml:space="preserve"> </w:t>
            </w:r>
            <w:r w:rsidRPr="0016370E">
              <w:rPr>
                <w:rStyle w:val="Strong"/>
                <w:rFonts w:ascii="Arial" w:hAnsi="Arial" w:cs="Arial"/>
                <w:b w:val="0"/>
                <w:bCs w:val="0"/>
                <w:color w:val="000000"/>
                <w:sz w:val="21"/>
                <w:szCs w:val="21"/>
                <w:bdr w:val="none" w:sz="0" w:space="0" w:color="auto" w:frame="1"/>
                <w:lang w:val="et-EE"/>
              </w:rPr>
              <w:t>18 lg (2)</w:t>
            </w:r>
          </w:p>
        </w:tc>
        <w:tc>
          <w:tcPr>
            <w:tcW w:w="2974" w:type="dxa"/>
          </w:tcPr>
          <w:p w14:paraId="4FC089C8" w14:textId="7149FA64" w:rsidR="0016370E" w:rsidRDefault="0016370E">
            <w:pPr>
              <w:rPr>
                <w:lang w:val="et-EE"/>
              </w:rPr>
            </w:pPr>
            <w:r>
              <w:rPr>
                <w:lang w:val="et-EE"/>
              </w:rPr>
              <w:t xml:space="preserve">Lisada sõnastusse täpsustus vähemalt üks kord viie aasta jooksul: </w:t>
            </w:r>
            <w:r w:rsidRPr="0016370E">
              <w:rPr>
                <w:lang w:val="et-EE"/>
              </w:rPr>
              <w:t xml:space="preserve">(2) Kiirgustegevusloa omaja korraldab asutusesisese kliinilise auditi vähemalt üks kord aastas, kaasates sellesse asjakohased meditsiinikiirituse protseduuride tegijad ja meditsiinifüüsika eksperdi. Asutusevälised auditeeritavas valdkonnas </w:t>
            </w:r>
            <w:r w:rsidRPr="0016370E">
              <w:rPr>
                <w:lang w:val="et-EE"/>
              </w:rPr>
              <w:lastRenderedPageBreak/>
              <w:t xml:space="preserve">pädevad isikud tuleb kliinilisse auditisse kaasata </w:t>
            </w:r>
            <w:r w:rsidRPr="0016370E">
              <w:rPr>
                <w:b/>
                <w:bCs/>
                <w:u w:val="single"/>
                <w:lang w:val="et-EE"/>
              </w:rPr>
              <w:t>vähemalt</w:t>
            </w:r>
            <w:r w:rsidRPr="0016370E">
              <w:rPr>
                <w:lang w:val="et-EE"/>
              </w:rPr>
              <w:t xml:space="preserve"> üks kord viie aasta jooksul.</w:t>
            </w:r>
          </w:p>
        </w:tc>
        <w:tc>
          <w:tcPr>
            <w:tcW w:w="4160" w:type="dxa"/>
          </w:tcPr>
          <w:p w14:paraId="2872AA74" w14:textId="6BB28A45" w:rsidR="0016370E" w:rsidRDefault="00525A92">
            <w:pPr>
              <w:rPr>
                <w:lang w:val="et-EE"/>
              </w:rPr>
            </w:pPr>
            <w:r>
              <w:rPr>
                <w:lang w:val="et-EE"/>
              </w:rPr>
              <w:lastRenderedPageBreak/>
              <w:t>Tulenevalt tehnoloogia ja metoodikate kiirest arengust</w:t>
            </w:r>
            <w:r w:rsidRPr="00525A92">
              <w:rPr>
                <w:lang w:val="et-EE"/>
              </w:rPr>
              <w:t xml:space="preserve"> tekib </w:t>
            </w:r>
            <w:r>
              <w:rPr>
                <w:lang w:val="et-EE"/>
              </w:rPr>
              <w:t xml:space="preserve">vahel </w:t>
            </w:r>
            <w:r w:rsidRPr="00525A92">
              <w:rPr>
                <w:lang w:val="et-EE"/>
              </w:rPr>
              <w:t xml:space="preserve">vajadus sagedasemaks välisekspertide kaasamiseks, näiteks mingi uue kiirgustegevuse </w:t>
            </w:r>
            <w:proofErr w:type="spellStart"/>
            <w:r w:rsidRPr="00525A92">
              <w:rPr>
                <w:lang w:val="et-EE"/>
              </w:rPr>
              <w:t>pilootimisel</w:t>
            </w:r>
            <w:proofErr w:type="spellEnd"/>
            <w:r w:rsidRPr="00525A92">
              <w:rPr>
                <w:lang w:val="et-EE"/>
              </w:rPr>
              <w:t>, mistõttu on mõistlik maha võtta viieaastase sammu piirang.</w:t>
            </w:r>
          </w:p>
        </w:tc>
        <w:tc>
          <w:tcPr>
            <w:tcW w:w="1661" w:type="dxa"/>
          </w:tcPr>
          <w:p w14:paraId="5201F417" w14:textId="29173DF0" w:rsidR="0016370E" w:rsidRDefault="0016370E">
            <w:pPr>
              <w:rPr>
                <w:lang w:val="et-EE"/>
              </w:rPr>
            </w:pPr>
            <w:r>
              <w:rPr>
                <w:lang w:val="et-EE"/>
              </w:rPr>
              <w:t>Oluline ettepanek</w:t>
            </w:r>
          </w:p>
        </w:tc>
      </w:tr>
    </w:tbl>
    <w:p w14:paraId="3FF79A36" w14:textId="77777777" w:rsidR="00D8493C" w:rsidRPr="00A962CC" w:rsidRDefault="00D8493C">
      <w:pPr>
        <w:rPr>
          <w:lang w:val="et-EE"/>
        </w:rPr>
      </w:pPr>
    </w:p>
    <w:p w14:paraId="286247C6" w14:textId="77777777" w:rsidR="004D1B89" w:rsidRPr="00A962CC" w:rsidRDefault="004D1B89">
      <w:pPr>
        <w:rPr>
          <w:lang w:val="et-EE"/>
        </w:rPr>
      </w:pPr>
    </w:p>
    <w:p w14:paraId="01ADF842" w14:textId="1869AB5C" w:rsidR="004D1B89" w:rsidRPr="00A962CC" w:rsidRDefault="004D1B89">
      <w:pPr>
        <w:rPr>
          <w:lang w:val="et-EE"/>
        </w:rPr>
      </w:pPr>
      <w:r w:rsidRPr="00A962CC">
        <w:rPr>
          <w:lang w:val="et-EE"/>
        </w:rPr>
        <w:t>Eesti Biomeditsiinitehnika ja Meditsiinifüüsika Ühingu juhatuse esimees</w:t>
      </w:r>
    </w:p>
    <w:p w14:paraId="56A69D5C" w14:textId="312BFB00" w:rsidR="004D1B89" w:rsidRPr="00A962CC" w:rsidRDefault="004D1B89">
      <w:pPr>
        <w:rPr>
          <w:lang w:val="et-EE"/>
        </w:rPr>
      </w:pPr>
      <w:r w:rsidRPr="00A962CC">
        <w:rPr>
          <w:lang w:val="et-EE"/>
        </w:rPr>
        <w:t>Joosep Kepler</w:t>
      </w:r>
    </w:p>
    <w:p w14:paraId="3071CB71" w14:textId="4C2DE6CB" w:rsidR="004D1B89" w:rsidRPr="00A962CC" w:rsidRDefault="00340777">
      <w:pPr>
        <w:rPr>
          <w:lang w:val="et-EE"/>
        </w:rPr>
      </w:pPr>
      <w:r>
        <w:rPr>
          <w:lang w:val="et-EE"/>
        </w:rPr>
        <w:t>02</w:t>
      </w:r>
      <w:r w:rsidR="00A962CC">
        <w:rPr>
          <w:lang w:val="et-EE"/>
        </w:rPr>
        <w:t>.0</w:t>
      </w:r>
      <w:r>
        <w:rPr>
          <w:lang w:val="et-EE"/>
        </w:rPr>
        <w:t>8</w:t>
      </w:r>
      <w:r w:rsidR="00A962CC">
        <w:rPr>
          <w:lang w:val="et-EE"/>
        </w:rPr>
        <w:t>.2024.</w:t>
      </w:r>
    </w:p>
    <w:sectPr w:rsidR="004D1B89" w:rsidRPr="00A962CC" w:rsidSect="007E1E0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3C"/>
    <w:rsid w:val="000974CD"/>
    <w:rsid w:val="000B0C62"/>
    <w:rsid w:val="000C2C09"/>
    <w:rsid w:val="000F2776"/>
    <w:rsid w:val="0012685B"/>
    <w:rsid w:val="0016370E"/>
    <w:rsid w:val="00180FA2"/>
    <w:rsid w:val="00241871"/>
    <w:rsid w:val="00263C65"/>
    <w:rsid w:val="0027523C"/>
    <w:rsid w:val="00340777"/>
    <w:rsid w:val="003B2BC6"/>
    <w:rsid w:val="003C17DF"/>
    <w:rsid w:val="00411314"/>
    <w:rsid w:val="004449AB"/>
    <w:rsid w:val="0046127F"/>
    <w:rsid w:val="004B2D68"/>
    <w:rsid w:val="004D1B89"/>
    <w:rsid w:val="004D6FF9"/>
    <w:rsid w:val="005107F0"/>
    <w:rsid w:val="00525A92"/>
    <w:rsid w:val="005810E2"/>
    <w:rsid w:val="005B1A9A"/>
    <w:rsid w:val="005E2A33"/>
    <w:rsid w:val="005E2C3C"/>
    <w:rsid w:val="00647CE9"/>
    <w:rsid w:val="00677E2F"/>
    <w:rsid w:val="006D693D"/>
    <w:rsid w:val="0073494F"/>
    <w:rsid w:val="00773EA2"/>
    <w:rsid w:val="00781690"/>
    <w:rsid w:val="007A33DE"/>
    <w:rsid w:val="007B41D3"/>
    <w:rsid w:val="007B61B0"/>
    <w:rsid w:val="007E1E0C"/>
    <w:rsid w:val="008069E2"/>
    <w:rsid w:val="00820DA2"/>
    <w:rsid w:val="0084485C"/>
    <w:rsid w:val="00874CA3"/>
    <w:rsid w:val="00940BF9"/>
    <w:rsid w:val="00966993"/>
    <w:rsid w:val="009830F7"/>
    <w:rsid w:val="009D3EE6"/>
    <w:rsid w:val="009E75B9"/>
    <w:rsid w:val="00A30065"/>
    <w:rsid w:val="00A962CC"/>
    <w:rsid w:val="00AE5375"/>
    <w:rsid w:val="00B06CC2"/>
    <w:rsid w:val="00B5795A"/>
    <w:rsid w:val="00BE3814"/>
    <w:rsid w:val="00C23D14"/>
    <w:rsid w:val="00C56B30"/>
    <w:rsid w:val="00C83B51"/>
    <w:rsid w:val="00D21C83"/>
    <w:rsid w:val="00D256B6"/>
    <w:rsid w:val="00D554DF"/>
    <w:rsid w:val="00D8493C"/>
    <w:rsid w:val="00D954E7"/>
    <w:rsid w:val="00D95A30"/>
    <w:rsid w:val="00DA3DFE"/>
    <w:rsid w:val="00DB5BDA"/>
    <w:rsid w:val="00E040BF"/>
    <w:rsid w:val="00E43AE8"/>
    <w:rsid w:val="00EC0F25"/>
    <w:rsid w:val="00EC624D"/>
    <w:rsid w:val="00F267FE"/>
    <w:rsid w:val="00F61337"/>
    <w:rsid w:val="00F7004E"/>
    <w:rsid w:val="00F827CA"/>
    <w:rsid w:val="00F97754"/>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7DBF341"/>
  <w15:chartTrackingRefBased/>
  <w15:docId w15:val="{1198792C-030B-4442-A6D0-0FE9A256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4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4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3C"/>
    <w:rPr>
      <w:rFonts w:eastAsiaTheme="majorEastAsia" w:cstheme="majorBidi"/>
      <w:color w:val="272727" w:themeColor="text1" w:themeTint="D8"/>
    </w:rPr>
  </w:style>
  <w:style w:type="paragraph" w:styleId="Title">
    <w:name w:val="Title"/>
    <w:basedOn w:val="Normal"/>
    <w:next w:val="Normal"/>
    <w:link w:val="TitleChar"/>
    <w:uiPriority w:val="10"/>
    <w:qFormat/>
    <w:rsid w:val="00D84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3C"/>
    <w:pPr>
      <w:spacing w:before="160"/>
      <w:jc w:val="center"/>
    </w:pPr>
    <w:rPr>
      <w:i/>
      <w:iCs/>
      <w:color w:val="404040" w:themeColor="text1" w:themeTint="BF"/>
    </w:rPr>
  </w:style>
  <w:style w:type="character" w:customStyle="1" w:styleId="QuoteChar">
    <w:name w:val="Quote Char"/>
    <w:basedOn w:val="DefaultParagraphFont"/>
    <w:link w:val="Quote"/>
    <w:uiPriority w:val="29"/>
    <w:rsid w:val="00D8493C"/>
    <w:rPr>
      <w:i/>
      <w:iCs/>
      <w:color w:val="404040" w:themeColor="text1" w:themeTint="BF"/>
    </w:rPr>
  </w:style>
  <w:style w:type="paragraph" w:styleId="ListParagraph">
    <w:name w:val="List Paragraph"/>
    <w:basedOn w:val="Normal"/>
    <w:uiPriority w:val="34"/>
    <w:qFormat/>
    <w:rsid w:val="00D8493C"/>
    <w:pPr>
      <w:ind w:left="720"/>
      <w:contextualSpacing/>
    </w:pPr>
  </w:style>
  <w:style w:type="character" w:styleId="IntenseEmphasis">
    <w:name w:val="Intense Emphasis"/>
    <w:basedOn w:val="DefaultParagraphFont"/>
    <w:uiPriority w:val="21"/>
    <w:qFormat/>
    <w:rsid w:val="00D8493C"/>
    <w:rPr>
      <w:i/>
      <w:iCs/>
      <w:color w:val="0F4761" w:themeColor="accent1" w:themeShade="BF"/>
    </w:rPr>
  </w:style>
  <w:style w:type="paragraph" w:styleId="IntenseQuote">
    <w:name w:val="Intense Quote"/>
    <w:basedOn w:val="Normal"/>
    <w:next w:val="Normal"/>
    <w:link w:val="IntenseQuoteChar"/>
    <w:uiPriority w:val="30"/>
    <w:qFormat/>
    <w:rsid w:val="00D84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93C"/>
    <w:rPr>
      <w:i/>
      <w:iCs/>
      <w:color w:val="0F4761" w:themeColor="accent1" w:themeShade="BF"/>
    </w:rPr>
  </w:style>
  <w:style w:type="character" w:styleId="IntenseReference">
    <w:name w:val="Intense Reference"/>
    <w:basedOn w:val="DefaultParagraphFont"/>
    <w:uiPriority w:val="32"/>
    <w:qFormat/>
    <w:rsid w:val="00D8493C"/>
    <w:rPr>
      <w:b/>
      <w:bCs/>
      <w:smallCaps/>
      <w:color w:val="0F4761" w:themeColor="accent1" w:themeShade="BF"/>
      <w:spacing w:val="5"/>
    </w:rPr>
  </w:style>
  <w:style w:type="table" w:styleId="TableGrid">
    <w:name w:val="Table Grid"/>
    <w:basedOn w:val="TableNormal"/>
    <w:uiPriority w:val="39"/>
    <w:rsid w:val="00D8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5A30"/>
    <w:rPr>
      <w:b/>
      <w:bCs/>
    </w:rPr>
  </w:style>
  <w:style w:type="character" w:styleId="Hyperlink">
    <w:name w:val="Hyperlink"/>
    <w:basedOn w:val="DefaultParagraphFont"/>
    <w:uiPriority w:val="99"/>
    <w:unhideWhenUsed/>
    <w:rsid w:val="00EC0F25"/>
    <w:rPr>
      <w:color w:val="467886" w:themeColor="hyperlink"/>
      <w:u w:val="single"/>
    </w:rPr>
  </w:style>
  <w:style w:type="character" w:styleId="UnresolvedMention">
    <w:name w:val="Unresolved Mention"/>
    <w:basedOn w:val="DefaultParagraphFont"/>
    <w:uiPriority w:val="99"/>
    <w:semiHidden/>
    <w:unhideWhenUsed/>
    <w:rsid w:val="00EC0F25"/>
    <w:rPr>
      <w:color w:val="605E5C"/>
      <w:shd w:val="clear" w:color="auto" w:fill="E1DFDD"/>
    </w:rPr>
  </w:style>
  <w:style w:type="character" w:styleId="CommentReference">
    <w:name w:val="annotation reference"/>
    <w:basedOn w:val="DefaultParagraphFont"/>
    <w:uiPriority w:val="99"/>
    <w:semiHidden/>
    <w:unhideWhenUsed/>
    <w:rsid w:val="000B0C62"/>
    <w:rPr>
      <w:sz w:val="16"/>
      <w:szCs w:val="16"/>
    </w:rPr>
  </w:style>
  <w:style w:type="paragraph" w:styleId="CommentText">
    <w:name w:val="annotation text"/>
    <w:basedOn w:val="Normal"/>
    <w:link w:val="CommentTextChar"/>
    <w:uiPriority w:val="99"/>
    <w:semiHidden/>
    <w:unhideWhenUsed/>
    <w:rsid w:val="000B0C62"/>
    <w:pPr>
      <w:spacing w:line="240" w:lineRule="auto"/>
    </w:pPr>
    <w:rPr>
      <w:sz w:val="20"/>
      <w:szCs w:val="20"/>
    </w:rPr>
  </w:style>
  <w:style w:type="character" w:customStyle="1" w:styleId="CommentTextChar">
    <w:name w:val="Comment Text Char"/>
    <w:basedOn w:val="DefaultParagraphFont"/>
    <w:link w:val="CommentText"/>
    <w:uiPriority w:val="99"/>
    <w:semiHidden/>
    <w:rsid w:val="000B0C62"/>
    <w:rPr>
      <w:sz w:val="20"/>
      <w:szCs w:val="20"/>
    </w:rPr>
  </w:style>
  <w:style w:type="paragraph" w:styleId="CommentSubject">
    <w:name w:val="annotation subject"/>
    <w:basedOn w:val="CommentText"/>
    <w:next w:val="CommentText"/>
    <w:link w:val="CommentSubjectChar"/>
    <w:uiPriority w:val="99"/>
    <w:semiHidden/>
    <w:unhideWhenUsed/>
    <w:rsid w:val="000B0C62"/>
    <w:rPr>
      <w:b/>
      <w:bCs/>
    </w:rPr>
  </w:style>
  <w:style w:type="character" w:customStyle="1" w:styleId="CommentSubjectChar">
    <w:name w:val="Comment Subject Char"/>
    <w:basedOn w:val="CommentTextChar"/>
    <w:link w:val="CommentSubject"/>
    <w:uiPriority w:val="99"/>
    <w:semiHidden/>
    <w:rsid w:val="000B0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y.ee/wp-content/uploads/Dokumendid/KT-teostusprotokollid_ERU_14.04.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Joosep Kepler</dc:creator>
  <cp:keywords/>
  <dc:description/>
  <cp:lastModifiedBy>Joosep Kepler</cp:lastModifiedBy>
  <cp:revision>62</cp:revision>
  <dcterms:created xsi:type="dcterms:W3CDTF">2024-06-26T11:17:00Z</dcterms:created>
  <dcterms:modified xsi:type="dcterms:W3CDTF">2024-08-02T11:34:00Z</dcterms:modified>
</cp:coreProperties>
</file>